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Comprehensive Report</w:t>
      </w:r>
    </w:p>
    <w:p>
      <w:pPr>
        <w:pStyle w:val="Heading2"/>
      </w:pPr>
      <w:r>
        <w:t>Unartifacted Channel Activity</w:t>
      </w:r>
    </w:p>
    <w:p>
      <w:r>
        <w:drawing>
          <wp:inline xmlns:a="http://schemas.openxmlformats.org/drawingml/2006/main" xmlns:pic="http://schemas.openxmlformats.org/drawingml/2006/picture">
            <wp:extent cx="5486400" cy="290607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e Ref Raw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0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Artifacted Channel Activity - Gross Artifact</w:t>
      </w:r>
    </w:p>
    <w:p>
      <w:r>
        <w:drawing>
          <wp:inline xmlns:a="http://schemas.openxmlformats.org/drawingml/2006/main" xmlns:pic="http://schemas.openxmlformats.org/drawingml/2006/picture">
            <wp:extent cx="5486400" cy="290607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tifacted First Pass 1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0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Artifacted Channel Activity - Gross Artifact</w:t>
      </w:r>
    </w:p>
    <w:p>
      <w:r>
        <w:drawing>
          <wp:inline xmlns:a="http://schemas.openxmlformats.org/drawingml/2006/main" xmlns:pic="http://schemas.openxmlformats.org/drawingml/2006/picture">
            <wp:extent cx="5486400" cy="290607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tifacted First Pas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0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Rejected Channel Activity - Gross Artifact</w:t>
      </w:r>
    </w:p>
    <w:p>
      <w:r>
        <w:drawing>
          <wp:inline xmlns:a="http://schemas.openxmlformats.org/drawingml/2006/main" xmlns:pic="http://schemas.openxmlformats.org/drawingml/2006/picture">
            <wp:extent cx="5486400" cy="290607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jections First Pas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0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Unartifacted Channel Activity</w:t>
      </w:r>
    </w:p>
    <w:p>
      <w:r>
        <w:drawing>
          <wp:inline xmlns:a="http://schemas.openxmlformats.org/drawingml/2006/main" xmlns:pic="http://schemas.openxmlformats.org/drawingml/2006/picture">
            <wp:extent cx="5486400" cy="290607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w ICA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0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Power Topography</w:t>
      </w:r>
    </w:p>
    <w:p>
      <w:pPr>
        <w:pStyle w:val="Heading2"/>
      </w:pPr>
      <w:r>
        <w:t>Average Reference</w:t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lta Theta Alpha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pha 1 Alpha 2 Bet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ta 1 Beta 2 Beta 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gh Beta Gamma 1 Gamma 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lack-PS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Average 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erage-PS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Spatial Color 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PS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Channel Power Spectral Density</w:t>
      </w:r>
    </w:p>
    <w:p>
      <w:pPr>
        <w:pStyle w:val="Heading2"/>
      </w:pPr>
      <w:r>
        <w:t>Fp1Power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p1 PS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Fp2Power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p2 PS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F3Power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3 PSD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F4Power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4 PSD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C3Power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3 PSD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C4Power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4 PSD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P3Power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 PS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P4Power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4 PSD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O1Power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1 PSD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O2Power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2 PSD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F7Power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7 PSD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F8Power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8 PSD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T3Power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3 PSD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T4Power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4 PSD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T5Power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5 PSD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T6Power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6 PSD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FZPower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Z PSD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CZPower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Z PSD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PZPower Spectral Density</w:t>
      </w:r>
    </w:p>
    <w:p>
      <w:r>
        <w:drawing>
          <wp:inline xmlns:a="http://schemas.openxmlformats.org/drawingml/2006/main" xmlns:pic="http://schemas.openxmlformats.org/drawingml/2006/picture">
            <wp:extent cx="5486400" cy="192024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Z PSD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Independent Component Analysis</w:t>
      </w:r>
    </w:p>
    <w:p>
      <w:pPr>
        <w:pStyle w:val="Heading2"/>
      </w:pPr>
      <w:r>
        <w:t>Sample Component Activity</w:t>
      </w:r>
    </w:p>
    <w:p>
      <w:r>
        <w:drawing>
          <wp:inline xmlns:a="http://schemas.openxmlformats.org/drawingml/2006/main" xmlns:pic="http://schemas.openxmlformats.org/drawingml/2006/picture">
            <wp:extent cx="5486400" cy="2906078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w ICA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0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Independent Components</w:t>
      </w:r>
    </w:p>
    <w:p>
      <w:r>
        <w:drawing>
          <wp:inline xmlns:a="http://schemas.openxmlformats.org/drawingml/2006/main" xmlns:pic="http://schemas.openxmlformats.org/drawingml/2006/picture">
            <wp:extent cx="5486400" cy="5441383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A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13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0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1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2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3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3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4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4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5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5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6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6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7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8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8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9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9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10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1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11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1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12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1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13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1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14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1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15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15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16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16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17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17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Independent Component 18</w:t>
      </w:r>
    </w:p>
    <w:p>
      <w:r>
        <w:drawing>
          <wp:inline xmlns:a="http://schemas.openxmlformats.org/drawingml/2006/main" xmlns:pic="http://schemas.openxmlformats.org/drawingml/2006/picture">
            <wp:extent cx="4572000" cy="3918857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 18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8857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